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FCB" w:rsidRPr="007A4DB4" w:rsidRDefault="00647FCB" w:rsidP="00CE2E26">
      <w:pPr>
        <w:jc w:val="center"/>
        <w:rPr>
          <w:rFonts w:ascii="Sylfaen" w:hAnsi="Sylfaen"/>
          <w:b/>
          <w:u w:val="single"/>
          <w:lang w:val="ka-GE"/>
        </w:rPr>
      </w:pPr>
      <w:r w:rsidRPr="007A4DB4">
        <w:rPr>
          <w:rFonts w:ascii="Sylfaen" w:hAnsi="Sylfaen"/>
          <w:b/>
          <w:u w:val="single"/>
          <w:lang w:val="ka-GE"/>
        </w:rPr>
        <w:t>სამშენებლო ობიექტებზე ერთობლივი მონიტორინგის ჯგუფები</w:t>
      </w:r>
    </w:p>
    <w:p w:rsidR="00120369" w:rsidRDefault="00367640" w:rsidP="00367640">
      <w:pPr>
        <w:jc w:val="both"/>
        <w:rPr>
          <w:rFonts w:ascii="Sylfaen" w:hAnsi="Sylfaen" w:cs="Sylfaen"/>
          <w:lang w:val="ka-GE"/>
        </w:rPr>
      </w:pPr>
      <w:r w:rsidRPr="00394ECF">
        <w:rPr>
          <w:rFonts w:ascii="Sylfaen" w:hAnsi="Sylfaen"/>
          <w:lang w:val="ka-GE"/>
        </w:rPr>
        <w:t>საქართველოს მთავრობ</w:t>
      </w:r>
      <w:r w:rsidR="00E91079">
        <w:rPr>
          <w:rFonts w:ascii="Sylfaen" w:hAnsi="Sylfaen"/>
          <w:lang w:val="ka-GE"/>
        </w:rPr>
        <w:t xml:space="preserve">ის გადაწყვეტილებით </w:t>
      </w:r>
      <w:r w:rsidR="00394ECF">
        <w:rPr>
          <w:rFonts w:ascii="Sylfaen" w:hAnsi="Sylfaen"/>
          <w:lang w:val="ka-GE"/>
        </w:rPr>
        <w:t>სამშენებლო სფეროში სახელმწიფო კონტროლის განმახორციელებ</w:t>
      </w:r>
      <w:r w:rsidR="00120369">
        <w:rPr>
          <w:rFonts w:ascii="Sylfaen" w:hAnsi="Sylfaen"/>
          <w:lang w:val="ka-GE"/>
        </w:rPr>
        <w:t>ის მიზნით</w:t>
      </w:r>
      <w:r w:rsidR="00E91079">
        <w:rPr>
          <w:rFonts w:ascii="Sylfaen" w:hAnsi="Sylfaen"/>
          <w:lang w:val="ka-GE"/>
        </w:rPr>
        <w:t xml:space="preserve">, </w:t>
      </w:r>
      <w:r w:rsidR="00647FCB" w:rsidRPr="00394ECF">
        <w:rPr>
          <w:rFonts w:ascii="Sylfaen" w:hAnsi="Sylfaen" w:cs="Sylfaen"/>
          <w:lang w:val="ka-GE"/>
        </w:rPr>
        <w:t>საქართველოს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ოკუპირებულ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ტერიტორიებიდან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დევნილთა</w:t>
      </w:r>
      <w:r w:rsidR="00647FCB" w:rsidRPr="00394ECF">
        <w:rPr>
          <w:rFonts w:ascii="Sylfaen" w:hAnsi="Sylfaen"/>
          <w:lang w:val="ka-GE"/>
        </w:rPr>
        <w:t xml:space="preserve">, </w:t>
      </w:r>
      <w:r w:rsidR="00647FCB" w:rsidRPr="00394ECF">
        <w:rPr>
          <w:rFonts w:ascii="Sylfaen" w:hAnsi="Sylfaen" w:cs="Sylfaen"/>
          <w:lang w:val="ka-GE"/>
        </w:rPr>
        <w:t>შრომის</w:t>
      </w:r>
      <w:r w:rsidR="00647FCB" w:rsidRPr="00394ECF">
        <w:rPr>
          <w:rFonts w:ascii="Sylfaen" w:hAnsi="Sylfaen"/>
          <w:lang w:val="ka-GE"/>
        </w:rPr>
        <w:t xml:space="preserve">, </w:t>
      </w:r>
      <w:r w:rsidR="00647FCB" w:rsidRPr="00394ECF">
        <w:rPr>
          <w:rFonts w:ascii="Sylfaen" w:hAnsi="Sylfaen" w:cs="Sylfaen"/>
          <w:lang w:val="ka-GE"/>
        </w:rPr>
        <w:t>ჯანმრთელობისა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და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სოციალური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დაცვის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სამინისტროს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შრომის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პირობების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ინსპექტირების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დეპარტამენტს</w:t>
      </w:r>
      <w:r w:rsidR="00120369">
        <w:rPr>
          <w:rFonts w:ascii="Sylfaen" w:hAnsi="Sylfaen" w:cs="Sylfaen"/>
          <w:lang w:val="ka-GE"/>
        </w:rPr>
        <w:t>ა და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საქართველოს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ეკონომიკისა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და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მდგრადი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განვითარების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სამინისტროს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სსიპ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ტექნიკური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და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სამშენებლო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ზედამხედველობის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სააგენტო</w:t>
      </w:r>
      <w:r w:rsidRPr="00394ECF">
        <w:rPr>
          <w:rFonts w:ascii="Sylfaen" w:hAnsi="Sylfaen" w:cs="Sylfaen"/>
          <w:lang w:val="ka-GE"/>
        </w:rPr>
        <w:t>ს</w:t>
      </w:r>
      <w:r w:rsidR="00C556F5">
        <w:rPr>
          <w:rFonts w:ascii="Sylfaen" w:hAnsi="Sylfaen" w:cs="Sylfaen"/>
          <w:lang w:val="ka-GE"/>
        </w:rPr>
        <w:t xml:space="preserve"> </w:t>
      </w:r>
      <w:r w:rsidR="00C556F5">
        <w:rPr>
          <w:rFonts w:ascii="Sylfaen" w:hAnsi="Sylfaen"/>
          <w:lang w:val="ka-GE"/>
        </w:rPr>
        <w:t xml:space="preserve">დაევალა </w:t>
      </w:r>
      <w:r w:rsidR="00120369">
        <w:rPr>
          <w:rFonts w:ascii="Sylfaen" w:hAnsi="Sylfaen" w:cs="Sylfaen"/>
          <w:lang w:val="ka-GE"/>
        </w:rPr>
        <w:t xml:space="preserve"> </w:t>
      </w:r>
      <w:r w:rsidR="00E91079">
        <w:rPr>
          <w:rFonts w:ascii="Sylfaen" w:hAnsi="Sylfaen"/>
          <w:lang w:val="ka-GE"/>
        </w:rPr>
        <w:t>სამშენებლო სექტორში შრომის უსაფრთხოების ნორმების დაცვის მიზნით</w:t>
      </w:r>
      <w:r w:rsidR="00120369">
        <w:rPr>
          <w:rFonts w:ascii="Sylfaen" w:hAnsi="Sylfaen"/>
          <w:lang w:val="ka-GE"/>
        </w:rPr>
        <w:t xml:space="preserve"> </w:t>
      </w:r>
      <w:r w:rsidR="00120369" w:rsidRPr="00394ECF">
        <w:rPr>
          <w:rFonts w:ascii="Sylfaen" w:eastAsia="Times New Roman" w:hAnsi="Sylfaen" w:cs="Sylfaen"/>
          <w:bCs/>
          <w:lang w:val="ka-GE"/>
        </w:rPr>
        <w:t>ერთობლივი კონტროლი</w:t>
      </w:r>
      <w:r w:rsidR="00E91079">
        <w:rPr>
          <w:rFonts w:ascii="Sylfaen" w:eastAsia="Times New Roman" w:hAnsi="Sylfaen" w:cs="Sylfaen"/>
          <w:bCs/>
          <w:lang w:val="ka-GE"/>
        </w:rPr>
        <w:t>ს განხორციელება</w:t>
      </w:r>
      <w:r w:rsidR="00120369">
        <w:rPr>
          <w:rFonts w:ascii="Sylfaen" w:eastAsia="Times New Roman" w:hAnsi="Sylfaen" w:cs="Sylfaen"/>
          <w:bCs/>
          <w:lang w:val="ka-GE"/>
        </w:rPr>
        <w:t>.</w:t>
      </w:r>
      <w:r w:rsidR="00E91079">
        <w:rPr>
          <w:rFonts w:ascii="Sylfaen" w:eastAsia="Times New Roman" w:hAnsi="Sylfaen" w:cs="Sylfaen"/>
          <w:bCs/>
          <w:lang w:val="ka-GE"/>
        </w:rPr>
        <w:t xml:space="preserve"> </w:t>
      </w:r>
      <w:r w:rsidRPr="00394ECF">
        <w:rPr>
          <w:rFonts w:ascii="Sylfaen" w:hAnsi="Sylfaen" w:cs="Sylfaen"/>
          <w:lang w:val="ka-GE"/>
        </w:rPr>
        <w:t xml:space="preserve">აღნიშნულ პროცესში მონაწილეობის მიღება ეთხოვა </w:t>
      </w:r>
      <w:r w:rsidR="00E91079">
        <w:rPr>
          <w:rFonts w:ascii="Sylfaen" w:hAnsi="Sylfaen" w:cs="Sylfaen"/>
          <w:lang w:val="ka-GE"/>
        </w:rPr>
        <w:t xml:space="preserve">ასევე </w:t>
      </w:r>
      <w:r w:rsidRPr="00394ECF">
        <w:rPr>
          <w:rFonts w:ascii="Sylfaen" w:hAnsi="Sylfaen" w:cs="Sylfaen"/>
          <w:lang w:val="ka-GE"/>
        </w:rPr>
        <w:t>ქ</w:t>
      </w:r>
      <w:r w:rsidR="00647FCB" w:rsidRPr="00394ECF">
        <w:rPr>
          <w:rFonts w:ascii="Sylfaen" w:hAnsi="Sylfaen" w:cs="Sylfaen"/>
          <w:lang w:val="ka-GE"/>
        </w:rPr>
        <w:t>ალაქ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თბილისის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მუნიციპალიტეტის</w:t>
      </w:r>
      <w:r w:rsidR="00647FCB" w:rsidRPr="00394ECF">
        <w:rPr>
          <w:rFonts w:ascii="Sylfaen" w:hAnsi="Sylfaen"/>
          <w:lang w:val="ka-GE"/>
        </w:rPr>
        <w:t xml:space="preserve"> </w:t>
      </w:r>
      <w:r w:rsidR="00647FCB" w:rsidRPr="00394ECF">
        <w:rPr>
          <w:rFonts w:ascii="Sylfaen" w:hAnsi="Sylfaen" w:cs="Sylfaen"/>
          <w:lang w:val="ka-GE"/>
        </w:rPr>
        <w:t>მერი</w:t>
      </w:r>
      <w:r w:rsidRPr="00394ECF">
        <w:rPr>
          <w:rFonts w:ascii="Sylfaen" w:hAnsi="Sylfaen" w:cs="Sylfaen"/>
          <w:lang w:val="ka-GE"/>
        </w:rPr>
        <w:t xml:space="preserve">ას. </w:t>
      </w:r>
    </w:p>
    <w:p w:rsidR="00E91079" w:rsidRDefault="00120369" w:rsidP="00367640">
      <w:pPr>
        <w:jc w:val="both"/>
        <w:rPr>
          <w:rFonts w:ascii="Sylfaen" w:eastAsia="Calibri" w:hAnsi="Sylfaen"/>
          <w:lang w:val="ka-GE"/>
        </w:rPr>
      </w:pPr>
      <w:r>
        <w:rPr>
          <w:rFonts w:ascii="Sylfaen" w:hAnsi="Sylfaen" w:cs="Sylfaen"/>
          <w:lang w:val="ka-GE"/>
        </w:rPr>
        <w:t>2019 წლის 19 ივლისს</w:t>
      </w:r>
      <w:r w:rsidR="00367640" w:rsidRPr="00394ECF">
        <w:rPr>
          <w:rFonts w:ascii="Sylfaen" w:hAnsi="Sylfaen" w:cs="Sylfaen"/>
          <w:lang w:val="ka-GE"/>
        </w:rPr>
        <w:t xml:space="preserve"> მხარეებს შორის გაფორმებულ იქნა ურთიერთთანამშრომლობის მემორანდუმი, </w:t>
      </w:r>
      <w:r w:rsidR="00367640" w:rsidRPr="00394ECF">
        <w:rPr>
          <w:rFonts w:ascii="Sylfaen" w:eastAsia="Calibri" w:hAnsi="Sylfaen"/>
          <w:lang w:val="ka-GE"/>
        </w:rPr>
        <w:t>რომლითაც განისაზღვრა ერთობლივი ჯგუფების მოქმედების გეგმა და იმ საკითხების ჩამონათვალი, რომელიც სამივე უწყების მიერ მიჩნეულ იქნა კრიტიკულად/არსებითად</w:t>
      </w:r>
      <w:r w:rsidR="00E91079">
        <w:rPr>
          <w:rFonts w:ascii="Sylfaen" w:eastAsia="Calibri" w:hAnsi="Sylfaen"/>
          <w:lang w:val="ka-GE"/>
        </w:rPr>
        <w:t>. ასევე</w:t>
      </w:r>
      <w:r w:rsidR="00367640" w:rsidRPr="00394ECF">
        <w:rPr>
          <w:rFonts w:ascii="Sylfaen" w:eastAsia="Calibri" w:hAnsi="Sylfaen"/>
          <w:lang w:val="ka-GE"/>
        </w:rPr>
        <w:t xml:space="preserve"> განისაზღვრა როგორც ადამიანის სიცოცხლისა და ჯანმრთელობისათვის საფრთხის შემცველი ფაქტორები</w:t>
      </w:r>
      <w:r w:rsidR="00E91079">
        <w:rPr>
          <w:rFonts w:ascii="Sylfaen" w:eastAsia="Calibri" w:hAnsi="Sylfaen"/>
          <w:lang w:val="ka-GE"/>
        </w:rPr>
        <w:t>.</w:t>
      </w:r>
    </w:p>
    <w:p w:rsidR="00C556F5" w:rsidRDefault="00367640" w:rsidP="00C556F5">
      <w:pPr>
        <w:jc w:val="both"/>
        <w:rPr>
          <w:rFonts w:ascii="Sylfaen" w:hAnsi="Sylfaen" w:cs="Sylfaen"/>
          <w:lang w:val="ka-GE"/>
        </w:rPr>
      </w:pPr>
      <w:r w:rsidRPr="00394ECF">
        <w:rPr>
          <w:rFonts w:ascii="Sylfaen" w:eastAsia="Calibri" w:hAnsi="Sylfaen"/>
          <w:lang w:val="ka-GE"/>
        </w:rPr>
        <w:t xml:space="preserve">2019 წლის 23 ივლისიდან </w:t>
      </w:r>
      <w:r w:rsidR="00E91079">
        <w:rPr>
          <w:rFonts w:ascii="Sylfaen" w:eastAsia="Calibri" w:hAnsi="Sylfaen"/>
          <w:lang w:val="ka-GE"/>
        </w:rPr>
        <w:t>სამშენებლო ობიექტებზე პირველი ინსპექტირება განახორციელეს სამივე უწყების წარმომადგენლებით დაკომპლექტებულმა, ერთობლივი ინსპექტირების ჯგუფებმა.</w:t>
      </w:r>
      <w:r w:rsidR="00E91079">
        <w:rPr>
          <w:rFonts w:ascii="Sylfaen" w:hAnsi="Sylfaen" w:cs="Sylfaen"/>
          <w:lang w:val="ka-GE"/>
        </w:rPr>
        <w:t xml:space="preserve"> </w:t>
      </w:r>
      <w:proofErr w:type="spellStart"/>
      <w:r w:rsidR="00C556F5">
        <w:rPr>
          <w:rFonts w:ascii="Sylfaen" w:hAnsi="Sylfaen" w:cs="Sylfaen"/>
        </w:rPr>
        <w:t>დღემდე</w:t>
      </w:r>
      <w:proofErr w:type="spellEnd"/>
      <w:r w:rsidR="00C556F5">
        <w:rPr>
          <w:rFonts w:ascii="Sylfaen" w:hAnsi="Sylfaen" w:cs="Sylfaen"/>
          <w:lang w:val="ka-GE"/>
        </w:rPr>
        <w:t xml:space="preserve"> მონიტორინგი</w:t>
      </w:r>
      <w:r w:rsidR="00210416">
        <w:rPr>
          <w:rFonts w:ascii="Sylfaen" w:hAnsi="Sylfaen" w:cs="Sylfaen"/>
          <w:lang w:val="ka-GE"/>
        </w:rPr>
        <w:t xml:space="preserve"> (23-26</w:t>
      </w:r>
      <w:r w:rsidR="00C556F5" w:rsidRPr="00C556F5">
        <w:rPr>
          <w:rFonts w:ascii="Sylfaen" w:hAnsi="Sylfaen" w:cs="Sylfaen"/>
          <w:lang w:val="ka-GE"/>
        </w:rPr>
        <w:t xml:space="preserve"> ივლისი) განხორციელდა</w:t>
      </w:r>
      <w:r w:rsidR="00210416">
        <w:rPr>
          <w:rFonts w:ascii="Sylfaen" w:hAnsi="Sylfaen" w:cs="Sylfaen"/>
          <w:lang w:val="ka-GE"/>
        </w:rPr>
        <w:t xml:space="preserve"> 24</w:t>
      </w:r>
      <w:r w:rsidR="00C556F5" w:rsidRPr="00C556F5">
        <w:rPr>
          <w:rFonts w:ascii="Sylfaen" w:hAnsi="Sylfaen" w:cs="Sylfaen"/>
          <w:lang w:val="ka-GE"/>
        </w:rPr>
        <w:t xml:space="preserve"> ობიექტზე. მათგან:</w:t>
      </w:r>
    </w:p>
    <w:p w:rsidR="00C556F5" w:rsidRPr="00C556F5" w:rsidRDefault="00C556F5" w:rsidP="00C556F5">
      <w:pPr>
        <w:jc w:val="both"/>
        <w:rPr>
          <w:rFonts w:ascii="Sylfaen" w:hAnsi="Sylfaen" w:cs="Sylfaen"/>
          <w:lang w:val="ka-GE"/>
        </w:rPr>
      </w:pPr>
      <w:r w:rsidRPr="00C556F5">
        <w:rPr>
          <w:rFonts w:ascii="Sylfaen" w:hAnsi="Sylfaen" w:cs="Sylfaen"/>
          <w:lang w:val="ka-GE"/>
        </w:rPr>
        <w:t xml:space="preserve"> </w:t>
      </w:r>
      <w:r w:rsidRPr="00C556F5">
        <w:rPr>
          <w:rFonts w:ascii="Cambria Math" w:hAnsi="Cambria Math" w:cs="Cambria Math"/>
          <w:lang w:val="ka-GE"/>
        </w:rPr>
        <w:t>▰</w:t>
      </w:r>
      <w:r w:rsidRPr="00C556F5">
        <w:rPr>
          <w:rFonts w:ascii="Sylfaen" w:hAnsi="Sylfaen" w:cs="Sylfaen"/>
          <w:lang w:val="ka-GE"/>
        </w:rPr>
        <w:t>ერთობლივი ინსპექტირებები დაიწყო 2019 წლის 23 ივლისს</w:t>
      </w:r>
    </w:p>
    <w:p w:rsidR="00C556F5" w:rsidRPr="00C556F5" w:rsidRDefault="00C556F5" w:rsidP="00C556F5">
      <w:pPr>
        <w:jc w:val="both"/>
        <w:rPr>
          <w:rFonts w:ascii="Sylfaen" w:hAnsi="Sylfaen" w:cs="Sylfaen"/>
          <w:lang w:val="ka-GE"/>
        </w:rPr>
      </w:pPr>
      <w:r w:rsidRPr="00C556F5">
        <w:rPr>
          <w:rFonts w:ascii="Cambria Math" w:hAnsi="Cambria Math" w:cs="Cambria Math"/>
          <w:lang w:val="ka-GE"/>
        </w:rPr>
        <w:t>▰</w:t>
      </w:r>
      <w:r w:rsidRPr="00C556F5">
        <w:rPr>
          <w:rFonts w:ascii="Sylfaen" w:hAnsi="Sylfaen" w:cs="Sylfaen"/>
          <w:lang w:val="ka-GE"/>
        </w:rPr>
        <w:t>4 დღის განმავლობაში უკვე შემოწმდა 24 ობიექტი</w:t>
      </w:r>
    </w:p>
    <w:p w:rsidR="00C556F5" w:rsidRPr="00C556F5" w:rsidRDefault="00C556F5" w:rsidP="00C556F5">
      <w:pPr>
        <w:jc w:val="both"/>
        <w:rPr>
          <w:rFonts w:ascii="Sylfaen" w:hAnsi="Sylfaen" w:cs="Sylfaen"/>
          <w:lang w:val="ka-GE"/>
        </w:rPr>
      </w:pPr>
      <w:r w:rsidRPr="00C556F5">
        <w:rPr>
          <w:rFonts w:ascii="Cambria Math" w:hAnsi="Cambria Math" w:cs="Cambria Math"/>
          <w:lang w:val="ka-GE"/>
        </w:rPr>
        <w:t>▰</w:t>
      </w:r>
      <w:r w:rsidRPr="00C556F5">
        <w:rPr>
          <w:rFonts w:ascii="Sylfaen" w:hAnsi="Sylfaen" w:cs="Sylfaen"/>
          <w:lang w:val="ka-GE"/>
        </w:rPr>
        <w:t xml:space="preserve"> ყველა ობიექტზე გამოვლინდა არსებითი/კრიტიკული შეუსაბამობები</w:t>
      </w:r>
    </w:p>
    <w:p w:rsidR="00C556F5" w:rsidRPr="00C556F5" w:rsidRDefault="00C556F5" w:rsidP="00C556F5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lang w:val="ka-GE"/>
        </w:rPr>
      </w:pPr>
      <w:r w:rsidRPr="00C556F5">
        <w:rPr>
          <w:rFonts w:ascii="Sylfaen" w:hAnsi="Sylfaen" w:cs="Sylfaen"/>
          <w:lang w:val="ka-GE"/>
        </w:rPr>
        <w:t xml:space="preserve">შრომის პირობების ინსპექტირების დეპარტამენტის მიერ ყველა ობიექტზე გამოყენებულ იქნა ადმინისტრაციული სახდელის სახით გაფრთხილება და დარღვევების გამოსასწორებლად კომპანიებს განესაზღვრათ 7-დან 10 დღემდე ვადა. </w:t>
      </w:r>
    </w:p>
    <w:p w:rsidR="00C556F5" w:rsidRPr="00C556F5" w:rsidRDefault="00C556F5" w:rsidP="00C556F5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lang w:val="ka-GE"/>
        </w:rPr>
      </w:pPr>
      <w:r w:rsidRPr="00C556F5">
        <w:rPr>
          <w:rFonts w:ascii="Sylfaen" w:hAnsi="Sylfaen" w:cs="Sylfaen"/>
          <w:lang w:val="ka-GE"/>
        </w:rPr>
        <w:t>მუნიციპალური ინსპექციის მიერ  11-ს შეუჩერდა სამუშაო პროცესი და ადმინისტრაციული სახდელის სახით გამოყენებულ იქნა ჯარიმა 30 000 ლარის ოდენობით.</w:t>
      </w:r>
    </w:p>
    <w:p w:rsidR="00C556F5" w:rsidRPr="00C556F5" w:rsidRDefault="00C556F5" w:rsidP="00C556F5">
      <w:pPr>
        <w:pStyle w:val="ListParagraph"/>
        <w:numPr>
          <w:ilvl w:val="0"/>
          <w:numId w:val="4"/>
        </w:numPr>
        <w:jc w:val="both"/>
        <w:rPr>
          <w:rFonts w:ascii="Sylfaen" w:hAnsi="Sylfaen" w:cs="Sylfaen"/>
          <w:lang w:val="ka-GE"/>
        </w:rPr>
      </w:pPr>
      <w:r w:rsidRPr="00C556F5">
        <w:rPr>
          <w:rFonts w:ascii="Sylfaen" w:hAnsi="Sylfaen" w:cs="Sylfaen"/>
          <w:lang w:val="ka-GE"/>
        </w:rPr>
        <w:t>ტექნიკური და სამშენებლო ზედამხედველობის სააგენტოს მიერ ამწე მოწყობილობების ინსპექტირების სერტიფიკატის უქონლობის გამო დაჯარიმდა 3 ობიექტი 500 ლარის ოდენობით.</w:t>
      </w:r>
    </w:p>
    <w:p w:rsidR="00E91079" w:rsidRPr="00E91079" w:rsidRDefault="00E91079" w:rsidP="00C556F5">
      <w:pPr>
        <w:jc w:val="both"/>
        <w:rPr>
          <w:rFonts w:ascii="Sylfaen" w:hAnsi="Sylfaen" w:cs="Sylfaen"/>
          <w:lang w:val="ka-GE"/>
        </w:rPr>
      </w:pPr>
      <w:r w:rsidRPr="00394ECF">
        <w:rPr>
          <w:rFonts w:ascii="Sylfaen" w:hAnsi="Sylfaen" w:cs="Sylfaen"/>
          <w:lang w:val="ka-GE"/>
        </w:rPr>
        <w:t>მაქსიმალური ეფექტიანობის მისაღწევად</w:t>
      </w:r>
      <w:bookmarkStart w:id="0" w:name="_GoBack"/>
      <w:bookmarkEnd w:id="0"/>
      <w:r w:rsidRPr="00394ECF"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  <w:lang w:val="ka-GE"/>
        </w:rPr>
        <w:t xml:space="preserve">ერთობლივი მონიტორინგის </w:t>
      </w:r>
      <w:r w:rsidRPr="00394ECF">
        <w:rPr>
          <w:rFonts w:ascii="Sylfaen" w:hAnsi="Sylfaen" w:cs="Sylfaen"/>
          <w:lang w:val="ka-GE"/>
        </w:rPr>
        <w:t xml:space="preserve">ჯგუფები იმუშავებენ ყოველდღიურ რეჟიმში და სამშენებლო ობიექტებზე გამოავლენენ </w:t>
      </w:r>
      <w:proofErr w:type="spellStart"/>
      <w:r w:rsidRPr="00394ECF">
        <w:rPr>
          <w:rFonts w:ascii="Sylfaen" w:hAnsi="Sylfaen"/>
        </w:rPr>
        <w:t>მომეტებული</w:t>
      </w:r>
      <w:proofErr w:type="spellEnd"/>
      <w:r w:rsidRPr="00394ECF">
        <w:rPr>
          <w:rFonts w:ascii="Sylfaen" w:hAnsi="Sylfaen"/>
        </w:rPr>
        <w:t xml:space="preserve"> </w:t>
      </w:r>
      <w:proofErr w:type="spellStart"/>
      <w:r w:rsidRPr="00394ECF">
        <w:rPr>
          <w:rFonts w:ascii="Sylfaen" w:hAnsi="Sylfaen"/>
        </w:rPr>
        <w:t>საფრთხის</w:t>
      </w:r>
      <w:proofErr w:type="spellEnd"/>
      <w:r w:rsidRPr="00394ECF">
        <w:rPr>
          <w:rFonts w:ascii="Sylfaen" w:hAnsi="Sylfaen"/>
        </w:rPr>
        <w:t xml:space="preserve"> </w:t>
      </w:r>
      <w:proofErr w:type="spellStart"/>
      <w:r w:rsidRPr="00394ECF">
        <w:rPr>
          <w:rFonts w:ascii="Sylfaen" w:hAnsi="Sylfaen"/>
        </w:rPr>
        <w:t>შემცველი</w:t>
      </w:r>
      <w:proofErr w:type="spellEnd"/>
      <w:r w:rsidRPr="00394ECF">
        <w:rPr>
          <w:rFonts w:ascii="Sylfaen" w:hAnsi="Sylfaen"/>
        </w:rPr>
        <w:t xml:space="preserve">, </w:t>
      </w:r>
      <w:proofErr w:type="spellStart"/>
      <w:r w:rsidRPr="00394ECF">
        <w:rPr>
          <w:rFonts w:ascii="Sylfaen" w:hAnsi="Sylfaen"/>
        </w:rPr>
        <w:t>მძიმე</w:t>
      </w:r>
      <w:proofErr w:type="spellEnd"/>
      <w:r w:rsidRPr="00394ECF">
        <w:rPr>
          <w:rFonts w:ascii="Sylfaen" w:hAnsi="Sylfaen"/>
        </w:rPr>
        <w:t xml:space="preserve">, </w:t>
      </w:r>
      <w:proofErr w:type="spellStart"/>
      <w:r w:rsidRPr="00394ECF">
        <w:rPr>
          <w:rFonts w:ascii="Sylfaen" w:hAnsi="Sylfaen"/>
        </w:rPr>
        <w:t>მავნე</w:t>
      </w:r>
      <w:proofErr w:type="spellEnd"/>
      <w:r w:rsidRPr="00394ECF">
        <w:rPr>
          <w:rFonts w:ascii="Sylfaen" w:hAnsi="Sylfaen"/>
        </w:rPr>
        <w:t xml:space="preserve"> </w:t>
      </w:r>
      <w:proofErr w:type="spellStart"/>
      <w:r w:rsidRPr="00394ECF">
        <w:rPr>
          <w:rFonts w:ascii="Sylfaen" w:hAnsi="Sylfaen"/>
        </w:rPr>
        <w:t>და</w:t>
      </w:r>
      <w:proofErr w:type="spellEnd"/>
      <w:r w:rsidRPr="00394ECF">
        <w:rPr>
          <w:rFonts w:ascii="Sylfaen" w:hAnsi="Sylfaen"/>
        </w:rPr>
        <w:t xml:space="preserve"> </w:t>
      </w:r>
      <w:proofErr w:type="spellStart"/>
      <w:r w:rsidRPr="00394ECF">
        <w:rPr>
          <w:rFonts w:ascii="Sylfaen" w:hAnsi="Sylfaen"/>
        </w:rPr>
        <w:t>საშიშპირობებიან</w:t>
      </w:r>
      <w:proofErr w:type="spellEnd"/>
      <w:r w:rsidRPr="00394ECF">
        <w:rPr>
          <w:rFonts w:ascii="Sylfaen" w:hAnsi="Sylfaen"/>
        </w:rPr>
        <w:t xml:space="preserve">, </w:t>
      </w:r>
      <w:proofErr w:type="spellStart"/>
      <w:r w:rsidRPr="00394ECF">
        <w:rPr>
          <w:rFonts w:ascii="Sylfaen" w:hAnsi="Sylfaen"/>
        </w:rPr>
        <w:t>ასევე</w:t>
      </w:r>
      <w:proofErr w:type="spellEnd"/>
      <w:r w:rsidRPr="00394ECF">
        <w:rPr>
          <w:rFonts w:ascii="Sylfaen" w:hAnsi="Sylfaen"/>
        </w:rPr>
        <w:t xml:space="preserve">, </w:t>
      </w:r>
      <w:proofErr w:type="spellStart"/>
      <w:r w:rsidRPr="00394ECF">
        <w:rPr>
          <w:rFonts w:ascii="Sylfaen" w:hAnsi="Sylfaen"/>
        </w:rPr>
        <w:t>მომეტებული</w:t>
      </w:r>
      <w:proofErr w:type="spellEnd"/>
      <w:r w:rsidRPr="00394ECF">
        <w:rPr>
          <w:rFonts w:ascii="Sylfaen" w:hAnsi="Sylfaen"/>
        </w:rPr>
        <w:t xml:space="preserve"> </w:t>
      </w:r>
      <w:proofErr w:type="spellStart"/>
      <w:r w:rsidRPr="00394ECF">
        <w:rPr>
          <w:rFonts w:ascii="Sylfaen" w:hAnsi="Sylfaen"/>
        </w:rPr>
        <w:t>ტექნიკური</w:t>
      </w:r>
      <w:proofErr w:type="spellEnd"/>
      <w:r w:rsidRPr="00394ECF">
        <w:rPr>
          <w:rFonts w:ascii="Sylfaen" w:hAnsi="Sylfaen"/>
        </w:rPr>
        <w:t xml:space="preserve"> </w:t>
      </w:r>
      <w:proofErr w:type="spellStart"/>
      <w:r w:rsidRPr="00394ECF">
        <w:rPr>
          <w:rFonts w:ascii="Sylfaen" w:hAnsi="Sylfaen"/>
        </w:rPr>
        <w:t>საფრთხის</w:t>
      </w:r>
      <w:proofErr w:type="spellEnd"/>
      <w:r w:rsidRPr="00394ECF">
        <w:rPr>
          <w:rFonts w:ascii="Sylfaen" w:hAnsi="Sylfaen"/>
        </w:rPr>
        <w:t xml:space="preserve"> </w:t>
      </w:r>
      <w:proofErr w:type="spellStart"/>
      <w:r w:rsidRPr="00394ECF">
        <w:rPr>
          <w:rFonts w:ascii="Sylfaen" w:hAnsi="Sylfaen"/>
        </w:rPr>
        <w:t>შემცველ</w:t>
      </w:r>
      <w:proofErr w:type="spellEnd"/>
      <w:r w:rsidRPr="00394ECF">
        <w:rPr>
          <w:rFonts w:ascii="Sylfaen" w:hAnsi="Sylfaen"/>
        </w:rPr>
        <w:t xml:space="preserve"> </w:t>
      </w:r>
      <w:proofErr w:type="spellStart"/>
      <w:r w:rsidRPr="00394ECF">
        <w:rPr>
          <w:rFonts w:ascii="Sylfaen" w:hAnsi="Sylfaen"/>
        </w:rPr>
        <w:t>სამუშაო</w:t>
      </w:r>
      <w:proofErr w:type="spellEnd"/>
      <w:r w:rsidRPr="00394ECF">
        <w:rPr>
          <w:rFonts w:ascii="Sylfaen" w:hAnsi="Sylfaen"/>
        </w:rPr>
        <w:t xml:space="preserve"> </w:t>
      </w:r>
      <w:proofErr w:type="spellStart"/>
      <w:r w:rsidRPr="00394ECF">
        <w:rPr>
          <w:rFonts w:ascii="Sylfaen" w:hAnsi="Sylfaen"/>
        </w:rPr>
        <w:t>ადგილებზე</w:t>
      </w:r>
      <w:proofErr w:type="spellEnd"/>
      <w:r w:rsidRPr="00394ECF">
        <w:rPr>
          <w:rFonts w:ascii="Sylfaen" w:hAnsi="Sylfaen"/>
        </w:rPr>
        <w:t xml:space="preserve"> </w:t>
      </w:r>
      <w:r w:rsidRPr="00394ECF">
        <w:rPr>
          <w:rFonts w:ascii="Sylfaen" w:hAnsi="Sylfaen" w:cs="Sylfaen"/>
          <w:lang w:val="ka-GE"/>
        </w:rPr>
        <w:t>შრომის უსაფრთხოების ნორმების არსებითი და კრიტიკული შეუსაბამობებს</w:t>
      </w:r>
      <w:r>
        <w:rPr>
          <w:rFonts w:ascii="Sylfaen" w:hAnsi="Sylfaen" w:cs="Sylfaen"/>
          <w:lang w:val="ka-GE"/>
        </w:rPr>
        <w:t xml:space="preserve">, ასევე სისტემურ დარღვევებს. აღნიშნული დარღვევების იდენტიფიცირება და აღმოფხვრა დაეხმარება სამშენებლო სფეროს გახდეს უფრო უსაფრთხო </w:t>
      </w:r>
      <w:r w:rsidR="00D66A7B">
        <w:rPr>
          <w:rFonts w:ascii="Sylfaen" w:hAnsi="Sylfaen" w:cs="Sylfaen"/>
          <w:lang w:val="ka-GE"/>
        </w:rPr>
        <w:t xml:space="preserve">სამუშაო </w:t>
      </w:r>
      <w:r>
        <w:rPr>
          <w:rFonts w:ascii="Sylfaen" w:hAnsi="Sylfaen" w:cs="Sylfaen"/>
          <w:lang w:val="ka-GE"/>
        </w:rPr>
        <w:t>ადგილი</w:t>
      </w:r>
      <w:r w:rsidR="00D66A7B">
        <w:rPr>
          <w:rFonts w:ascii="Sylfaen" w:hAnsi="Sylfaen" w:cs="Sylfaen"/>
          <w:lang w:val="ka-GE"/>
        </w:rPr>
        <w:t xml:space="preserve">, ხოლო დამსაქმებლებს დაეკისროთ ვალდებულება </w:t>
      </w:r>
      <w:r w:rsidR="00C556F5">
        <w:rPr>
          <w:rFonts w:ascii="Sylfaen" w:hAnsi="Sylfaen" w:cs="Sylfaen"/>
          <w:lang w:val="ka-GE"/>
        </w:rPr>
        <w:t>უზრუნველყონ</w:t>
      </w:r>
      <w:r w:rsidR="00D66A7B">
        <w:rPr>
          <w:rFonts w:ascii="Sylfaen" w:hAnsi="Sylfaen" w:cs="Sylfaen"/>
          <w:lang w:val="ka-GE"/>
        </w:rPr>
        <w:t xml:space="preserve"> დასაქმებულების სიცოცხლ</w:t>
      </w:r>
      <w:r w:rsidR="00C556F5">
        <w:rPr>
          <w:rFonts w:ascii="Sylfaen" w:hAnsi="Sylfaen" w:cs="Sylfaen"/>
          <w:lang w:val="ka-GE"/>
        </w:rPr>
        <w:t>ისა</w:t>
      </w:r>
      <w:r w:rsidR="00D66A7B">
        <w:rPr>
          <w:rFonts w:ascii="Sylfaen" w:hAnsi="Sylfaen" w:cs="Sylfaen"/>
          <w:lang w:val="ka-GE"/>
        </w:rPr>
        <w:t xml:space="preserve"> და ჯანმრთელობის დაცვა.</w:t>
      </w:r>
    </w:p>
    <w:sectPr w:rsidR="00E91079" w:rsidRPr="00E91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53EF7"/>
    <w:multiLevelType w:val="hybridMultilevel"/>
    <w:tmpl w:val="7EE24B12"/>
    <w:lvl w:ilvl="0" w:tplc="816EE4BA">
      <w:numFmt w:val="bullet"/>
      <w:lvlText w:val="-"/>
      <w:lvlJc w:val="left"/>
      <w:pPr>
        <w:ind w:left="360" w:hanging="360"/>
      </w:pPr>
      <w:rPr>
        <w:rFonts w:ascii="Sylfaen" w:eastAsiaTheme="minorHAnsi" w:hAnsi="Sylfaen" w:cs="Sylfae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66DCA"/>
    <w:multiLevelType w:val="hybridMultilevel"/>
    <w:tmpl w:val="4350C42E"/>
    <w:lvl w:ilvl="0" w:tplc="816EE4BA">
      <w:numFmt w:val="bullet"/>
      <w:lvlText w:val="-"/>
      <w:lvlJc w:val="left"/>
      <w:pPr>
        <w:ind w:left="360" w:hanging="360"/>
      </w:pPr>
      <w:rPr>
        <w:rFonts w:ascii="Sylfaen" w:eastAsiaTheme="minorHAnsi" w:hAnsi="Sylfaen" w:cs="Sylfae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F2819"/>
    <w:multiLevelType w:val="hybridMultilevel"/>
    <w:tmpl w:val="79FE8474"/>
    <w:lvl w:ilvl="0" w:tplc="816EE4BA">
      <w:numFmt w:val="bullet"/>
      <w:lvlText w:val="-"/>
      <w:lvlJc w:val="left"/>
      <w:pPr>
        <w:ind w:left="360" w:hanging="360"/>
      </w:pPr>
      <w:rPr>
        <w:rFonts w:ascii="Sylfaen" w:eastAsiaTheme="minorHAnsi" w:hAnsi="Sylfaen" w:cs="Sylfae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53073E"/>
    <w:multiLevelType w:val="hybridMultilevel"/>
    <w:tmpl w:val="FB8CE5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4F"/>
    <w:rsid w:val="00002486"/>
    <w:rsid w:val="00120369"/>
    <w:rsid w:val="00210416"/>
    <w:rsid w:val="00367640"/>
    <w:rsid w:val="00394ECF"/>
    <w:rsid w:val="003D7883"/>
    <w:rsid w:val="00647FCB"/>
    <w:rsid w:val="0069026E"/>
    <w:rsid w:val="006A7E04"/>
    <w:rsid w:val="007A4DB4"/>
    <w:rsid w:val="0082621A"/>
    <w:rsid w:val="00A17110"/>
    <w:rsid w:val="00A65E33"/>
    <w:rsid w:val="00AA2F02"/>
    <w:rsid w:val="00AD3263"/>
    <w:rsid w:val="00AF3A4B"/>
    <w:rsid w:val="00C37797"/>
    <w:rsid w:val="00C556F5"/>
    <w:rsid w:val="00CE2E26"/>
    <w:rsid w:val="00D66A7B"/>
    <w:rsid w:val="00E91079"/>
    <w:rsid w:val="00EB16AA"/>
    <w:rsid w:val="00ED4AC4"/>
    <w:rsid w:val="00E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78F9E"/>
  <w15:chartTrackingRefBased/>
  <w15:docId w15:val="{B41287A2-5C55-41C2-B9CA-0011BAB8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7FC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Mchedlishvili</dc:creator>
  <cp:keywords/>
  <dc:description/>
  <cp:lastModifiedBy>Beka Peradze</cp:lastModifiedBy>
  <cp:revision>2</cp:revision>
  <dcterms:created xsi:type="dcterms:W3CDTF">2019-07-29T15:12:00Z</dcterms:created>
  <dcterms:modified xsi:type="dcterms:W3CDTF">2019-07-29T15:12:00Z</dcterms:modified>
</cp:coreProperties>
</file>